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bCs/>
          <w:color w:val="auto"/>
          <w:sz w:val="32"/>
          <w:szCs w:val="32"/>
          <w:lang w:val="en-US" w:eastAsia="zh-CN"/>
        </w:rPr>
      </w:pPr>
      <w:r>
        <w:rPr>
          <w:rFonts w:hint="eastAsia" w:ascii="CESI黑体-GB2312" w:hAnsi="CESI黑体-GB2312" w:eastAsia="CESI黑体-GB2312" w:cs="CESI黑体-GB2312"/>
          <w:bCs/>
          <w:color w:val="auto"/>
          <w:sz w:val="32"/>
          <w:szCs w:val="32"/>
        </w:rPr>
        <w:t>附件</w:t>
      </w:r>
      <w:r>
        <w:rPr>
          <w:rFonts w:hint="eastAsia" w:ascii="CESI黑体-GB2312" w:hAnsi="CESI黑体-GB2312" w:eastAsia="CESI黑体-GB2312" w:cs="CESI黑体-GB2312"/>
          <w:bCs/>
          <w:color w:val="auto"/>
          <w:sz w:val="32"/>
          <w:szCs w:val="32"/>
          <w:lang w:val="en-US" w:eastAsia="zh-CN"/>
        </w:rPr>
        <w:t>1</w:t>
      </w:r>
    </w:p>
    <w:p>
      <w:pPr>
        <w:spacing w:before="156" w:beforeLines="50" w:after="156" w:afterLines="50"/>
        <w:jc w:val="center"/>
        <w:rPr>
          <w:rFonts w:hint="eastAsia" w:ascii="Times New Roman" w:hAnsi="Times New Roman"/>
          <w:b/>
          <w:bCs/>
          <w:color w:val="auto"/>
          <w:sz w:val="44"/>
        </w:rPr>
      </w:pPr>
      <w:bookmarkStart w:id="0" w:name="_GoBack"/>
      <w:r>
        <w:rPr>
          <w:rFonts w:hint="eastAsia" w:ascii="Times New Roman" w:eastAsia="方正小标宋_GBK"/>
          <w:color w:val="auto"/>
          <w:sz w:val="44"/>
        </w:rPr>
        <w:t>公证员年度考核评分标准</w:t>
      </w:r>
      <w:bookmarkEnd w:id="0"/>
    </w:p>
    <w:tbl>
      <w:tblPr>
        <w:tblStyle w:val="3"/>
        <w:tblW w:w="14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411"/>
        <w:gridCol w:w="7382"/>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1075" w:type="dxa"/>
            <w:noWrap w:val="0"/>
            <w:vAlign w:val="center"/>
          </w:tcPr>
          <w:p>
            <w:pPr>
              <w:spacing w:line="340" w:lineRule="exact"/>
              <w:jc w:val="center"/>
              <w:rPr>
                <w:rFonts w:hint="eastAsia" w:ascii="Times New Roman" w:hAnsi="Times New Roman" w:eastAsia="方正黑体_GBK"/>
                <w:bCs/>
                <w:color w:val="auto"/>
                <w:sz w:val="21"/>
                <w:szCs w:val="21"/>
              </w:rPr>
            </w:pPr>
            <w:r>
              <w:rPr>
                <w:rFonts w:hint="eastAsia" w:ascii="Times New Roman" w:hAnsi="Times New Roman" w:eastAsia="方正黑体_GBK"/>
                <w:bCs/>
                <w:color w:val="auto"/>
                <w:sz w:val="21"/>
                <w:szCs w:val="21"/>
              </w:rPr>
              <w:t>考核事项</w:t>
            </w:r>
          </w:p>
        </w:tc>
        <w:tc>
          <w:tcPr>
            <w:tcW w:w="4411" w:type="dxa"/>
            <w:noWrap w:val="0"/>
            <w:vAlign w:val="center"/>
          </w:tcPr>
          <w:p>
            <w:pPr>
              <w:spacing w:line="340" w:lineRule="exact"/>
              <w:jc w:val="center"/>
              <w:rPr>
                <w:rFonts w:hint="eastAsia" w:ascii="Times New Roman" w:hAnsi="Times New Roman" w:eastAsia="方正黑体_GBK"/>
                <w:bCs/>
                <w:color w:val="auto"/>
                <w:sz w:val="21"/>
                <w:szCs w:val="21"/>
              </w:rPr>
            </w:pPr>
            <w:r>
              <w:rPr>
                <w:rFonts w:hint="eastAsia" w:ascii="Times New Roman" w:hAnsi="Times New Roman" w:eastAsia="方正黑体_GBK"/>
                <w:bCs/>
                <w:color w:val="auto"/>
                <w:sz w:val="21"/>
                <w:szCs w:val="21"/>
              </w:rPr>
              <w:t>考核内容</w:t>
            </w:r>
          </w:p>
        </w:tc>
        <w:tc>
          <w:tcPr>
            <w:tcW w:w="7382" w:type="dxa"/>
            <w:noWrap w:val="0"/>
            <w:vAlign w:val="center"/>
          </w:tcPr>
          <w:p>
            <w:pPr>
              <w:spacing w:line="340" w:lineRule="exact"/>
              <w:jc w:val="center"/>
              <w:rPr>
                <w:rFonts w:hint="eastAsia" w:ascii="Times New Roman" w:hAnsi="Times New Roman" w:eastAsia="方正黑体_GBK"/>
                <w:bCs/>
                <w:color w:val="auto"/>
                <w:sz w:val="21"/>
                <w:szCs w:val="21"/>
              </w:rPr>
            </w:pPr>
            <w:r>
              <w:rPr>
                <w:rFonts w:hint="eastAsia" w:ascii="Times New Roman" w:hAnsi="Times New Roman" w:eastAsia="方正黑体_GBK"/>
                <w:bCs/>
                <w:color w:val="auto"/>
                <w:sz w:val="21"/>
                <w:szCs w:val="21"/>
              </w:rPr>
              <w:t>评分标准</w:t>
            </w:r>
          </w:p>
        </w:tc>
        <w:tc>
          <w:tcPr>
            <w:tcW w:w="1353" w:type="dxa"/>
            <w:noWrap w:val="0"/>
            <w:vAlign w:val="center"/>
          </w:tcPr>
          <w:p>
            <w:pPr>
              <w:spacing w:line="340" w:lineRule="exact"/>
              <w:jc w:val="center"/>
              <w:rPr>
                <w:rFonts w:hint="eastAsia" w:ascii="Times New Roman" w:hAnsi="Times New Roman" w:eastAsia="方正黑体_GBK"/>
                <w:bCs/>
                <w:color w:val="auto"/>
                <w:sz w:val="21"/>
                <w:szCs w:val="21"/>
              </w:rPr>
            </w:pPr>
            <w:r>
              <w:rPr>
                <w:rFonts w:hint="eastAsia" w:ascii="Times New Roman" w:hAnsi="Times New Roman" w:eastAsia="方正黑体_GBK"/>
                <w:bCs/>
                <w:color w:val="auto"/>
                <w:sz w:val="21"/>
                <w:szCs w:val="21"/>
              </w:rPr>
              <w:t>加减分明细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1075" w:type="dxa"/>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德</w:t>
            </w:r>
          </w:p>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25分</w:t>
            </w:r>
            <w:r>
              <w:rPr>
                <w:rFonts w:hint="eastAsia" w:ascii="宋体" w:hAnsi="宋体" w:eastAsia="宋体" w:cs="宋体"/>
                <w:color w:val="auto"/>
                <w:sz w:val="21"/>
                <w:szCs w:val="21"/>
                <w:lang w:eastAsia="zh-CN"/>
              </w:rPr>
              <w:t>）</w:t>
            </w:r>
          </w:p>
        </w:tc>
        <w:tc>
          <w:tcPr>
            <w:tcW w:w="4411" w:type="dxa"/>
            <w:noWrap w:val="0"/>
            <w:vAlign w:val="top"/>
          </w:tcPr>
          <w:p>
            <w:pPr>
              <w:numPr>
                <w:ilvl w:val="0"/>
                <w:numId w:val="0"/>
              </w:num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考核政治品德、职业道德、社会道德、个人品德，包括执业纪律、爱岗敬业、廉洁服务及团结协作精神等方面。具体为：</w:t>
            </w:r>
          </w:p>
          <w:p>
            <w:pPr>
              <w:numPr>
                <w:ilvl w:val="0"/>
                <w:numId w:val="0"/>
              </w:num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具有较高的思想政治觉悟，主动参加党组织活动。</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工作期间仪表端庄、言行得体、服务热情。</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关心集体，团结协作，尊重同事，有良好的品格和道德情操。</w:t>
            </w:r>
          </w:p>
        </w:tc>
        <w:tc>
          <w:tcPr>
            <w:tcW w:w="7382"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党员公证员未按照规定参加所属党组织活动的，少一次扣3分。</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未按要求参加</w:t>
            </w:r>
            <w:r>
              <w:rPr>
                <w:rFonts w:hint="eastAsia" w:ascii="宋体" w:hAnsi="宋体" w:eastAsia="宋体" w:cs="宋体"/>
                <w:color w:val="auto"/>
                <w:sz w:val="21"/>
                <w:szCs w:val="21"/>
              </w:rPr>
              <w:t>公证机构组织</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思想政治、职业道德、执业纪律等</w:t>
            </w:r>
            <w:r>
              <w:rPr>
                <w:rFonts w:hint="eastAsia" w:ascii="宋体" w:hAnsi="宋体" w:eastAsia="宋体" w:cs="宋体"/>
                <w:color w:val="auto"/>
                <w:sz w:val="21"/>
                <w:szCs w:val="21"/>
                <w:lang w:eastAsia="zh-CN"/>
              </w:rPr>
              <w:t>方面的</w:t>
            </w:r>
            <w:r>
              <w:rPr>
                <w:rFonts w:hint="eastAsia" w:ascii="宋体" w:hAnsi="宋体" w:eastAsia="宋体" w:cs="宋体"/>
                <w:color w:val="auto"/>
                <w:sz w:val="21"/>
                <w:szCs w:val="21"/>
              </w:rPr>
              <w:t>学习</w:t>
            </w:r>
            <w:r>
              <w:rPr>
                <w:rFonts w:hint="eastAsia" w:ascii="宋体" w:hAnsi="宋体" w:eastAsia="宋体" w:cs="宋体"/>
                <w:color w:val="auto"/>
                <w:sz w:val="21"/>
                <w:szCs w:val="21"/>
                <w:lang w:val="en-US" w:eastAsia="zh-CN"/>
              </w:rPr>
              <w:t>的，扣3分。</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违反《公证员职业道德基本准则》，每起扣3分。</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因服务态度方面被投诉且查证属实的，每起扣3分。</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存在违反廉洁职业要求的，每起扣3分。</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违反《公证员执业管理办法》执业的，每起扣5分。</w:t>
            </w:r>
          </w:p>
        </w:tc>
        <w:tc>
          <w:tcPr>
            <w:tcW w:w="1353" w:type="dxa"/>
            <w:noWrap w:val="0"/>
            <w:vAlign w:val="top"/>
          </w:tcPr>
          <w:p>
            <w:pPr>
              <w:spacing w:line="340" w:lineRule="exact"/>
              <w:rPr>
                <w:rFonts w:hint="eastAsia" w:ascii="Times New Roman" w:hAnsi="Times New Roman" w:cs="方正楷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075" w:type="dxa"/>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能</w:t>
            </w:r>
          </w:p>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w:t>
            </w:r>
          </w:p>
        </w:tc>
        <w:tc>
          <w:tcPr>
            <w:tcW w:w="441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考核</w:t>
            </w:r>
            <w:r>
              <w:rPr>
                <w:rFonts w:hint="eastAsia" w:ascii="宋体" w:hAnsi="宋体" w:eastAsia="宋体" w:cs="宋体"/>
                <w:color w:val="auto"/>
                <w:sz w:val="21"/>
                <w:szCs w:val="21"/>
              </w:rPr>
              <w:t>业务</w:t>
            </w:r>
            <w:r>
              <w:rPr>
                <w:rFonts w:hint="eastAsia" w:ascii="宋体" w:hAnsi="宋体" w:eastAsia="宋体" w:cs="宋体"/>
                <w:color w:val="auto"/>
                <w:sz w:val="21"/>
                <w:szCs w:val="21"/>
                <w:lang w:eastAsia="zh-CN"/>
              </w:rPr>
              <w:t>知识和工作</w:t>
            </w:r>
            <w:r>
              <w:rPr>
                <w:rFonts w:hint="eastAsia" w:ascii="宋体" w:hAnsi="宋体" w:eastAsia="宋体" w:cs="宋体"/>
                <w:color w:val="auto"/>
                <w:sz w:val="21"/>
                <w:szCs w:val="21"/>
              </w:rPr>
              <w:t>能力情况，主要是法律素质、理论素养、业务技能、办证质量、严格依法、严守程序以及解决实际问题的能力和水平等。</w:t>
            </w:r>
            <w:r>
              <w:rPr>
                <w:rFonts w:hint="eastAsia" w:ascii="宋体" w:hAnsi="宋体" w:eastAsia="宋体" w:cs="宋体"/>
                <w:color w:val="auto"/>
                <w:sz w:val="21"/>
                <w:szCs w:val="21"/>
                <w:lang w:val="en-US" w:eastAsia="zh-CN"/>
              </w:rPr>
              <w:t>具体为：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熟知公证业务，具备熟练办理常规公证事项的能力。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积极参加业务学习，开展理论研究，积极报送公证案例或者调研文章。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p>
        </w:tc>
        <w:tc>
          <w:tcPr>
            <w:tcW w:w="7382"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未按公证程序办理公证的，每起扣3分</w:t>
            </w:r>
            <w:r>
              <w:rPr>
                <w:rFonts w:hint="eastAsia" w:ascii="宋体" w:hAnsi="宋体" w:eastAsia="宋体" w:cs="宋体"/>
                <w:color w:val="auto"/>
                <w:sz w:val="21"/>
                <w:szCs w:val="21"/>
              </w:rPr>
              <w:t>。</w:t>
            </w:r>
          </w:p>
          <w:p>
            <w:pPr>
              <w:numPr>
                <w:ilvl w:val="0"/>
                <w:numId w:val="2"/>
              </w:num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无正当理由拒绝受理公证、存在推诿现象的，每起扣3分。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质量检查不合格的，一件扣3分。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参加执业培训的时间少于40 学时的，扣3分。</w:t>
            </w:r>
          </w:p>
          <w:p>
            <w:pPr>
              <w:pStyle w:val="2"/>
              <w:rPr>
                <w:rFonts w:hint="eastAsia" w:ascii="宋体" w:hAnsi="宋体" w:eastAsia="宋体" w:cs="宋体"/>
                <w:color w:val="auto"/>
                <w:sz w:val="21"/>
                <w:szCs w:val="21"/>
              </w:rPr>
            </w:pPr>
          </w:p>
        </w:tc>
        <w:tc>
          <w:tcPr>
            <w:tcW w:w="1353" w:type="dxa"/>
            <w:noWrap w:val="0"/>
            <w:vAlign w:val="top"/>
          </w:tcPr>
          <w:p>
            <w:pPr>
              <w:spacing w:line="340" w:lineRule="exact"/>
              <w:rPr>
                <w:rFonts w:hint="eastAsia" w:ascii="Times New Roman" w:hAnsi="Times New Roman" w:cs="方正楷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1075" w:type="dxa"/>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勤</w:t>
            </w:r>
          </w:p>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25分</w:t>
            </w:r>
            <w:r>
              <w:rPr>
                <w:rFonts w:hint="eastAsia" w:ascii="宋体" w:hAnsi="宋体" w:eastAsia="宋体" w:cs="宋体"/>
                <w:color w:val="auto"/>
                <w:sz w:val="21"/>
                <w:szCs w:val="21"/>
                <w:lang w:eastAsia="zh-CN"/>
              </w:rPr>
              <w:t>）</w:t>
            </w:r>
          </w:p>
        </w:tc>
        <w:tc>
          <w:tcPr>
            <w:tcW w:w="4411" w:type="dxa"/>
            <w:noWrap w:val="0"/>
            <w:vAlign w:val="top"/>
          </w:tcPr>
          <w:p>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考核工作态度</w:t>
            </w:r>
            <w:r>
              <w:rPr>
                <w:rFonts w:hint="eastAsia" w:ascii="宋体" w:hAnsi="宋体" w:eastAsia="宋体" w:cs="宋体"/>
                <w:color w:val="auto"/>
                <w:sz w:val="21"/>
                <w:szCs w:val="21"/>
                <w:lang w:eastAsia="zh-CN"/>
              </w:rPr>
              <w:t>、工作作风</w:t>
            </w:r>
            <w:r>
              <w:rPr>
                <w:rFonts w:hint="eastAsia" w:ascii="宋体" w:hAnsi="宋体" w:eastAsia="宋体" w:cs="宋体"/>
                <w:color w:val="auto"/>
                <w:sz w:val="21"/>
                <w:szCs w:val="21"/>
              </w:rPr>
              <w:t>和勤奋敬业精神，包括出勤情况，工作、学习态度，工作效率、工作责任心、努力钻研及开拓创新精神等。</w:t>
            </w:r>
            <w:r>
              <w:rPr>
                <w:rFonts w:hint="eastAsia" w:ascii="宋体" w:hAnsi="宋体" w:eastAsia="宋体" w:cs="宋体"/>
                <w:color w:val="auto"/>
                <w:sz w:val="21"/>
                <w:szCs w:val="21"/>
                <w:lang w:val="en-US" w:eastAsia="zh-CN"/>
              </w:rPr>
              <w:t>具体为：</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勤勉敬业，恪尽职守，遵守劳动工作纪律。</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自觉提升专业能力，积极参加更高层次的学历教育、继续教育</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考试。</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注重理论知识学习，积极参加司法行政机关、公证协会、公证机构等组织的业务培训。</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按时保质完成上级交办的工作任务。</w:t>
            </w:r>
          </w:p>
        </w:tc>
        <w:tc>
          <w:tcPr>
            <w:tcW w:w="7382" w:type="dxa"/>
            <w:noWrap w:val="0"/>
            <w:vAlign w:val="top"/>
          </w:tcPr>
          <w:p>
            <w:pPr>
              <w:numPr>
                <w:ilvl w:val="0"/>
                <w:numId w:val="3"/>
              </w:numPr>
              <w:spacing w:line="300" w:lineRule="exact"/>
              <w:rPr>
                <w:rFonts w:hint="eastAsia" w:ascii="宋体" w:hAnsi="宋体" w:eastAsia="宋体" w:cs="宋体"/>
                <w:color w:val="auto"/>
              </w:rPr>
            </w:pPr>
            <w:r>
              <w:rPr>
                <w:rFonts w:hint="eastAsia" w:ascii="宋体" w:hAnsi="宋体" w:eastAsia="宋体" w:cs="宋体"/>
                <w:color w:val="auto"/>
              </w:rPr>
              <w:t>存在上班时间擅离工作岗位、迟到早退等不遵守劳动工作纪律情形的，每次扣2分。</w:t>
            </w:r>
          </w:p>
          <w:p>
            <w:pPr>
              <w:numPr>
                <w:ilvl w:val="0"/>
                <w:numId w:val="3"/>
              </w:numPr>
              <w:spacing w:line="300" w:lineRule="exact"/>
              <w:ind w:left="0" w:leftChars="0" w:firstLine="0" w:firstLineChars="0"/>
              <w:rPr>
                <w:rFonts w:hint="eastAsia" w:ascii="宋体" w:hAnsi="宋体" w:eastAsia="宋体" w:cs="宋体"/>
                <w:color w:val="auto"/>
              </w:rPr>
            </w:pPr>
            <w:r>
              <w:rPr>
                <w:rFonts w:hint="eastAsia" w:ascii="宋体" w:hAnsi="宋体" w:eastAsia="宋体" w:cs="宋体"/>
                <w:color w:val="auto"/>
              </w:rPr>
              <w:t>无正当理由拒不参加公证机构以及司法行政机关、</w:t>
            </w:r>
            <w:r>
              <w:rPr>
                <w:rFonts w:hint="eastAsia" w:ascii="宋体" w:hAnsi="宋体" w:eastAsia="宋体" w:cs="宋体"/>
                <w:color w:val="auto"/>
                <w:lang w:val="en-US" w:eastAsia="zh-CN"/>
              </w:rPr>
              <w:t>省</w:t>
            </w:r>
            <w:r>
              <w:rPr>
                <w:rFonts w:hint="eastAsia" w:ascii="宋体" w:hAnsi="宋体" w:eastAsia="宋体" w:cs="宋体"/>
                <w:color w:val="auto"/>
              </w:rPr>
              <w:t>公证协会等组织的线上、线下学习培训任务的，扣3分。</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rPr>
              <w:t>不能按时保质完成公证机构以及司法行政机关、</w:t>
            </w:r>
            <w:r>
              <w:rPr>
                <w:rFonts w:hint="eastAsia" w:ascii="宋体" w:hAnsi="宋体" w:eastAsia="宋体" w:cs="宋体"/>
                <w:color w:val="auto"/>
                <w:lang w:val="en-US" w:eastAsia="zh-CN"/>
              </w:rPr>
              <w:t>省</w:t>
            </w:r>
            <w:r>
              <w:rPr>
                <w:rFonts w:hint="eastAsia" w:ascii="宋体" w:hAnsi="宋体" w:eastAsia="宋体" w:cs="宋体"/>
                <w:color w:val="auto"/>
              </w:rPr>
              <w:t>公证协会等交办任务的，每次扣2分</w:t>
            </w:r>
            <w:r>
              <w:rPr>
                <w:rFonts w:hint="eastAsia" w:ascii="宋体" w:hAnsi="宋体" w:eastAsia="宋体" w:cs="宋体"/>
                <w:color w:val="auto"/>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存在延误办理公证情形的，每起扣</w:t>
            </w:r>
            <w:r>
              <w:rPr>
                <w:rFonts w:hint="eastAsia" w:ascii="宋体" w:hAnsi="宋体" w:eastAsia="宋体" w:cs="宋体"/>
                <w:color w:val="auto"/>
                <w:lang w:val="en-US" w:eastAsia="zh-CN"/>
              </w:rPr>
              <w:t>3分。</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公证员未亲自办证的，每起扣3分。</w:t>
            </w:r>
          </w:p>
        </w:tc>
        <w:tc>
          <w:tcPr>
            <w:tcW w:w="1353" w:type="dxa"/>
            <w:noWrap w:val="0"/>
            <w:vAlign w:val="top"/>
          </w:tcPr>
          <w:p>
            <w:pPr>
              <w:spacing w:line="340" w:lineRule="exact"/>
              <w:rPr>
                <w:rFonts w:hint="eastAsia" w:ascii="Times New Roman" w:hAnsi="Times New Roman" w:cs="方正楷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1075" w:type="dxa"/>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绩</w:t>
            </w:r>
          </w:p>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30分</w:t>
            </w:r>
            <w:r>
              <w:rPr>
                <w:rFonts w:hint="eastAsia" w:ascii="宋体" w:hAnsi="宋体" w:eastAsia="宋体" w:cs="宋体"/>
                <w:color w:val="auto"/>
                <w:sz w:val="21"/>
                <w:szCs w:val="21"/>
                <w:lang w:eastAsia="zh-CN"/>
              </w:rPr>
              <w:t>）</w:t>
            </w:r>
          </w:p>
        </w:tc>
        <w:tc>
          <w:tcPr>
            <w:tcW w:w="4411" w:type="dxa"/>
            <w:noWrap w:val="0"/>
            <w:vAlign w:val="top"/>
          </w:tcPr>
          <w:p>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1．主要考核</w:t>
            </w:r>
            <w:r>
              <w:rPr>
                <w:rFonts w:hint="eastAsia" w:ascii="宋体" w:hAnsi="宋体" w:eastAsia="宋体" w:cs="宋体"/>
                <w:color w:val="auto"/>
                <w:sz w:val="21"/>
                <w:szCs w:val="21"/>
                <w:lang w:eastAsia="zh-CN"/>
              </w:rPr>
              <w:t>工作实绩</w:t>
            </w:r>
            <w:r>
              <w:rPr>
                <w:rFonts w:hint="eastAsia" w:ascii="宋体" w:hAnsi="宋体" w:eastAsia="宋体" w:cs="宋体"/>
                <w:color w:val="auto"/>
                <w:sz w:val="21"/>
                <w:szCs w:val="21"/>
              </w:rPr>
              <w:t>情况，包括办证数量和质量、业绩和效能，理论或实务研究成果，取得的社会效益等。</w:t>
            </w:r>
            <w:r>
              <w:rPr>
                <w:rFonts w:hint="eastAsia" w:ascii="宋体" w:hAnsi="宋体" w:eastAsia="宋体" w:cs="宋体"/>
                <w:color w:val="auto"/>
                <w:sz w:val="21"/>
                <w:szCs w:val="21"/>
                <w:lang w:val="en-US" w:eastAsia="zh-CN"/>
              </w:rPr>
              <w:t>具体为：</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办证质量良好，未出现错证、不合格证。</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无因过错导致的上访、投诉、诉讼、媒体曝光和对外赔偿事件发生。</w:t>
            </w:r>
          </w:p>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个人年度办证数量</w:t>
            </w:r>
            <w:r>
              <w:rPr>
                <w:rFonts w:hint="eastAsia" w:ascii="宋体" w:hAnsi="宋体" w:eastAsia="宋体" w:cs="宋体"/>
                <w:color w:val="auto"/>
                <w:sz w:val="21"/>
                <w:szCs w:val="21"/>
                <w:lang w:eastAsia="zh-CN"/>
              </w:rPr>
              <w:t>情况</w:t>
            </w:r>
            <w:r>
              <w:rPr>
                <w:rFonts w:hint="eastAsia" w:ascii="宋体" w:hAnsi="宋体" w:eastAsia="宋体" w:cs="宋体"/>
                <w:color w:val="auto"/>
                <w:sz w:val="21"/>
                <w:szCs w:val="21"/>
              </w:rPr>
              <w:t>。</w:t>
            </w:r>
          </w:p>
        </w:tc>
        <w:tc>
          <w:tcPr>
            <w:tcW w:w="7382" w:type="dxa"/>
            <w:noWrap w:val="0"/>
            <w:vAlign w:val="top"/>
          </w:tcPr>
          <w:p>
            <w:pPr>
              <w:numPr>
                <w:ilvl w:val="0"/>
                <w:numId w:val="4"/>
              </w:numPr>
              <w:spacing w:line="300" w:lineRule="exact"/>
              <w:rPr>
                <w:rFonts w:hint="eastAsia" w:ascii="宋体" w:hAnsi="宋体" w:eastAsia="宋体" w:cs="宋体"/>
                <w:color w:val="auto"/>
              </w:rPr>
            </w:pPr>
            <w:r>
              <w:rPr>
                <w:rFonts w:hint="eastAsia" w:ascii="宋体" w:hAnsi="宋体" w:eastAsia="宋体" w:cs="宋体"/>
                <w:color w:val="auto"/>
                <w:sz w:val="21"/>
                <w:szCs w:val="21"/>
              </w:rPr>
              <w:t>办证质量</w:t>
            </w:r>
            <w:r>
              <w:rPr>
                <w:rFonts w:hint="eastAsia" w:ascii="宋体" w:hAnsi="宋体" w:eastAsia="宋体" w:cs="宋体"/>
                <w:color w:val="auto"/>
                <w:sz w:val="21"/>
                <w:szCs w:val="21"/>
                <w:lang w:eastAsia="zh-CN"/>
              </w:rPr>
              <w:t>较差</w:t>
            </w:r>
            <w:r>
              <w:rPr>
                <w:rFonts w:hint="eastAsia" w:ascii="宋体" w:hAnsi="宋体" w:eastAsia="宋体" w:cs="宋体"/>
                <w:color w:val="auto"/>
                <w:sz w:val="21"/>
                <w:szCs w:val="21"/>
              </w:rPr>
              <w:t>，出现错证、不合格证</w:t>
            </w:r>
            <w:r>
              <w:rPr>
                <w:rFonts w:hint="eastAsia" w:ascii="宋体" w:hAnsi="宋体" w:eastAsia="宋体" w:cs="宋体"/>
                <w:color w:val="auto"/>
                <w:sz w:val="21"/>
                <w:szCs w:val="21"/>
                <w:lang w:eastAsia="zh-CN"/>
              </w:rPr>
              <w:t>的，每起扣</w:t>
            </w:r>
            <w:r>
              <w:rPr>
                <w:rFonts w:hint="eastAsia" w:ascii="宋体" w:hAnsi="宋体" w:eastAsia="宋体" w:cs="宋体"/>
                <w:color w:val="auto"/>
                <w:sz w:val="21"/>
                <w:szCs w:val="21"/>
                <w:lang w:val="en-US" w:eastAsia="zh-CN"/>
              </w:rPr>
              <w:t>5分。</w:t>
            </w:r>
          </w:p>
          <w:p>
            <w:pPr>
              <w:numPr>
                <w:ilvl w:val="0"/>
                <w:numId w:val="4"/>
              </w:numPr>
              <w:spacing w:line="300" w:lineRule="exact"/>
              <w:ind w:left="0" w:leftChars="0" w:firstLine="0" w:firstLineChars="0"/>
              <w:rPr>
                <w:rFonts w:hint="eastAsia" w:ascii="宋体" w:hAnsi="宋体" w:eastAsia="宋体" w:cs="宋体"/>
                <w:color w:val="auto"/>
              </w:rPr>
            </w:pPr>
            <w:r>
              <w:rPr>
                <w:rFonts w:hint="eastAsia" w:ascii="宋体" w:hAnsi="宋体" w:eastAsia="宋体" w:cs="宋体"/>
                <w:color w:val="auto"/>
              </w:rPr>
              <w:t>因过错导致上访、投诉、诉讼、媒体曝光和对外赔偿事件发生，每起扣</w:t>
            </w:r>
            <w:r>
              <w:rPr>
                <w:rFonts w:hint="eastAsia" w:ascii="宋体" w:hAnsi="宋体" w:eastAsia="宋体" w:cs="宋体"/>
                <w:color w:val="auto"/>
                <w:lang w:val="en-US" w:eastAsia="zh-CN"/>
              </w:rPr>
              <w:t>5</w:t>
            </w:r>
            <w:r>
              <w:rPr>
                <w:rFonts w:hint="eastAsia" w:ascii="宋体" w:hAnsi="宋体" w:eastAsia="宋体" w:cs="宋体"/>
                <w:color w:val="auto"/>
              </w:rPr>
              <w:t>分。</w:t>
            </w:r>
          </w:p>
          <w:p>
            <w:pPr>
              <w:numPr>
                <w:ilvl w:val="0"/>
                <w:numId w:val="4"/>
              </w:numPr>
              <w:spacing w:line="300" w:lineRule="exact"/>
              <w:ind w:left="0" w:leftChars="0" w:firstLine="0" w:firstLineChars="0"/>
              <w:rPr>
                <w:rFonts w:hint="eastAsia" w:ascii="宋体" w:hAnsi="宋体" w:eastAsia="宋体" w:cs="宋体"/>
                <w:color w:val="auto"/>
              </w:rPr>
            </w:pPr>
            <w:r>
              <w:rPr>
                <w:rFonts w:hint="eastAsia" w:ascii="宋体" w:hAnsi="宋体" w:eastAsia="宋体" w:cs="宋体"/>
                <w:color w:val="auto"/>
              </w:rPr>
              <w:t>年度办证数量较上年下降5%的扣</w:t>
            </w:r>
            <w:r>
              <w:rPr>
                <w:rFonts w:hint="eastAsia" w:ascii="宋体" w:hAnsi="宋体" w:eastAsia="宋体" w:cs="宋体"/>
                <w:color w:val="auto"/>
                <w:lang w:val="en-US" w:eastAsia="zh-CN"/>
              </w:rPr>
              <w:t>2</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下降</w:t>
            </w:r>
            <w:r>
              <w:rPr>
                <w:rFonts w:hint="eastAsia" w:ascii="宋体" w:hAnsi="宋体" w:eastAsia="宋体" w:cs="宋体"/>
                <w:color w:val="auto"/>
                <w:lang w:val="en-US" w:eastAsia="zh-CN"/>
              </w:rPr>
              <w:t>10</w:t>
            </w:r>
            <w:r>
              <w:rPr>
                <w:rFonts w:hint="eastAsia" w:ascii="宋体" w:hAnsi="宋体" w:eastAsia="宋体" w:cs="宋体"/>
                <w:color w:val="auto"/>
              </w:rPr>
              <w:t>%的扣</w:t>
            </w:r>
            <w:r>
              <w:rPr>
                <w:rFonts w:hint="eastAsia" w:ascii="宋体" w:hAnsi="宋体" w:eastAsia="宋体" w:cs="宋体"/>
                <w:color w:val="auto"/>
                <w:lang w:val="en-US" w:eastAsia="zh-CN"/>
              </w:rPr>
              <w:t>4</w:t>
            </w:r>
            <w:r>
              <w:rPr>
                <w:rFonts w:hint="eastAsia" w:ascii="宋体" w:hAnsi="宋体" w:eastAsia="宋体" w:cs="宋体"/>
                <w:color w:val="auto"/>
              </w:rPr>
              <w:t>分</w:t>
            </w:r>
            <w:r>
              <w:rPr>
                <w:rFonts w:hint="eastAsia" w:ascii="宋体" w:hAnsi="宋体" w:eastAsia="宋体" w:cs="宋体"/>
                <w:color w:val="auto"/>
                <w:lang w:eastAsia="zh-CN"/>
              </w:rPr>
              <w:t>，下降</w:t>
            </w:r>
            <w:r>
              <w:rPr>
                <w:rFonts w:hint="eastAsia" w:ascii="宋体" w:hAnsi="宋体" w:eastAsia="宋体" w:cs="宋体"/>
                <w:color w:val="auto"/>
                <w:lang w:val="en-US" w:eastAsia="zh-CN"/>
              </w:rPr>
              <w:t>15</w:t>
            </w:r>
            <w:r>
              <w:rPr>
                <w:rFonts w:hint="eastAsia" w:ascii="宋体" w:hAnsi="宋体" w:eastAsia="宋体" w:cs="宋体"/>
                <w:color w:val="auto"/>
                <w:lang w:eastAsia="zh-CN"/>
              </w:rPr>
              <w:t>%及以上的扣</w:t>
            </w:r>
            <w:r>
              <w:rPr>
                <w:rFonts w:hint="eastAsia" w:ascii="宋体" w:hAnsi="宋体" w:eastAsia="宋体" w:cs="宋体"/>
                <w:color w:val="auto"/>
                <w:lang w:val="en-US" w:eastAsia="zh-CN"/>
              </w:rPr>
              <w:t>6</w:t>
            </w:r>
            <w:r>
              <w:rPr>
                <w:rFonts w:hint="eastAsia" w:ascii="宋体" w:hAnsi="宋体" w:eastAsia="宋体" w:cs="宋体"/>
                <w:color w:val="auto"/>
                <w:lang w:eastAsia="zh-CN"/>
              </w:rPr>
              <w:t>分。</w:t>
            </w:r>
          </w:p>
          <w:p>
            <w:pPr>
              <w:numPr>
                <w:ilvl w:val="0"/>
                <w:numId w:val="4"/>
              </w:numPr>
              <w:spacing w:line="300" w:lineRule="exact"/>
              <w:ind w:left="0" w:leftChars="0" w:firstLine="0" w:firstLineChars="0"/>
              <w:rPr>
                <w:rFonts w:hint="eastAsia" w:ascii="宋体" w:hAnsi="宋体" w:eastAsia="宋体" w:cs="宋体"/>
                <w:color w:val="auto"/>
              </w:rPr>
            </w:pPr>
            <w:r>
              <w:rPr>
                <w:rFonts w:hint="eastAsia" w:ascii="宋体" w:hAnsi="宋体" w:eastAsia="宋体" w:cs="宋体"/>
                <w:color w:val="auto"/>
                <w:sz w:val="21"/>
                <w:szCs w:val="21"/>
                <w:lang w:eastAsia="zh-CN"/>
              </w:rPr>
              <w:t>公证员</w:t>
            </w:r>
            <w:r>
              <w:rPr>
                <w:rFonts w:hint="eastAsia" w:ascii="宋体" w:hAnsi="宋体" w:eastAsia="宋体" w:cs="宋体"/>
                <w:color w:val="auto"/>
                <w:sz w:val="21"/>
                <w:szCs w:val="21"/>
              </w:rPr>
              <w:t>每年开展</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rPr>
              <w:t>少于</w:t>
            </w:r>
            <w:r>
              <w:rPr>
                <w:rFonts w:hint="eastAsia" w:ascii="宋体" w:hAnsi="宋体" w:eastAsia="宋体" w:cs="宋体"/>
                <w:color w:val="auto"/>
                <w:sz w:val="21"/>
                <w:szCs w:val="21"/>
                <w:lang w:val="en-US" w:eastAsia="zh-CN"/>
              </w:rPr>
              <w:t>2次</w:t>
            </w:r>
            <w:r>
              <w:rPr>
                <w:rFonts w:hint="eastAsia" w:ascii="宋体" w:hAnsi="宋体" w:eastAsia="宋体" w:cs="宋体"/>
                <w:color w:val="auto"/>
                <w:sz w:val="21"/>
                <w:szCs w:val="21"/>
              </w:rPr>
              <w:t>的公益法律服务，未达到办理数量的，扣3分。</w:t>
            </w:r>
          </w:p>
          <w:p>
            <w:pPr>
              <w:spacing w:line="300" w:lineRule="exact"/>
              <w:rPr>
                <w:rFonts w:hint="eastAsia" w:ascii="宋体" w:hAnsi="宋体" w:eastAsia="宋体" w:cs="宋体"/>
                <w:color w:val="auto"/>
              </w:rPr>
            </w:pPr>
          </w:p>
        </w:tc>
        <w:tc>
          <w:tcPr>
            <w:tcW w:w="1353" w:type="dxa"/>
            <w:noWrap w:val="0"/>
            <w:vAlign w:val="top"/>
          </w:tcPr>
          <w:p>
            <w:pPr>
              <w:spacing w:line="340" w:lineRule="exact"/>
              <w:rPr>
                <w:rFonts w:hint="eastAsia" w:ascii="Times New Roman" w:hAnsi="Times New Roman" w:cs="方正楷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jc w:val="center"/>
        </w:trPr>
        <w:tc>
          <w:tcPr>
            <w:tcW w:w="1075" w:type="dxa"/>
            <w:noWrap w:val="0"/>
            <w:vAlign w:val="center"/>
          </w:tcPr>
          <w:p>
            <w:pPr>
              <w:spacing w:line="3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加分项</w:t>
            </w:r>
          </w:p>
          <w:p>
            <w:pPr>
              <w:spacing w:line="300" w:lineRule="exact"/>
              <w:jc w:val="center"/>
              <w:rPr>
                <w:rFonts w:hint="eastAsia" w:ascii="宋体" w:hAnsi="宋体" w:eastAsia="宋体" w:cs="宋体"/>
                <w:color w:val="auto"/>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p>
        </w:tc>
        <w:tc>
          <w:tcPr>
            <w:tcW w:w="4411" w:type="dxa"/>
            <w:noWrap w:val="0"/>
            <w:vAlign w:val="top"/>
          </w:tcPr>
          <w:p>
            <w:pPr>
              <w:numPr>
                <w:ilvl w:val="0"/>
                <w:numId w:val="5"/>
              </w:num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积极思考和参与公证机构内部事务管理，提出建设性意见。</w:t>
            </w:r>
          </w:p>
          <w:p>
            <w:pPr>
              <w:numPr>
                <w:ilvl w:val="0"/>
                <w:numId w:val="5"/>
              </w:num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自觉提升专业能力，积极参加更高层次的学历教育、继续教育、法律职业资格考试。</w:t>
            </w:r>
          </w:p>
          <w:p>
            <w:pPr>
              <w:numPr>
                <w:ilvl w:val="0"/>
                <w:numId w:val="5"/>
              </w:num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服务评价满意率达到</w:t>
            </w:r>
            <w:r>
              <w:rPr>
                <w:rFonts w:hint="default" w:ascii="宋体" w:hAnsi="宋体" w:eastAsia="宋体" w:cs="宋体"/>
                <w:color w:val="auto"/>
                <w:sz w:val="21"/>
                <w:szCs w:val="21"/>
                <w:lang w:val="en"/>
              </w:rPr>
              <w:t>10</w:t>
            </w:r>
            <w:r>
              <w:rPr>
                <w:rFonts w:hint="eastAsia" w:ascii="宋体" w:hAnsi="宋体" w:eastAsia="宋体" w:cs="宋体"/>
                <w:color w:val="auto"/>
                <w:sz w:val="21"/>
                <w:szCs w:val="21"/>
              </w:rPr>
              <w:t>0%</w:t>
            </w:r>
            <w:r>
              <w:rPr>
                <w:rFonts w:hint="eastAsia" w:ascii="宋体" w:hAnsi="宋体" w:eastAsia="宋体" w:cs="宋体"/>
                <w:color w:val="auto"/>
                <w:sz w:val="21"/>
                <w:szCs w:val="21"/>
                <w:lang w:eastAsia="zh-CN"/>
              </w:rPr>
              <w:t>。</w:t>
            </w:r>
          </w:p>
          <w:p>
            <w:pPr>
              <w:numPr>
                <w:ilvl w:val="0"/>
                <w:numId w:val="5"/>
              </w:num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办理公证业务质量较好。</w:t>
            </w:r>
          </w:p>
          <w:p>
            <w:pPr>
              <w:numPr>
                <w:ilvl w:val="0"/>
                <w:numId w:val="5"/>
              </w:num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个人年度办证数量较上年有增长。</w:t>
            </w:r>
          </w:p>
          <w:p>
            <w:pPr>
              <w:numPr>
                <w:ilvl w:val="0"/>
                <w:numId w:val="5"/>
              </w:num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积极参加业务学习，开展理论研究，积极报送公证案例或者理论文章。</w:t>
            </w:r>
          </w:p>
          <w:p>
            <w:pPr>
              <w:numPr>
                <w:ilvl w:val="0"/>
                <w:numId w:val="5"/>
              </w:numPr>
              <w:spacing w:line="30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w:t>
            </w:r>
            <w:r>
              <w:rPr>
                <w:rFonts w:hint="eastAsia" w:ascii="宋体" w:hAnsi="宋体" w:eastAsia="宋体" w:cs="宋体"/>
                <w:color w:val="auto"/>
                <w:lang w:val="en-US" w:eastAsia="zh-CN"/>
              </w:rPr>
              <w:t>核年度内，公证员个人获得区（县）级及以上单位表彰的。</w:t>
            </w:r>
          </w:p>
          <w:p>
            <w:pPr>
              <w:numPr>
                <w:ilvl w:val="0"/>
                <w:numId w:val="0"/>
              </w:numPr>
              <w:spacing w:line="300" w:lineRule="exact"/>
              <w:ind w:leftChars="0"/>
              <w:rPr>
                <w:rFonts w:hint="eastAsia" w:ascii="宋体" w:hAnsi="宋体" w:eastAsia="宋体" w:cs="宋体"/>
                <w:color w:val="auto"/>
                <w:lang w:val="en-US" w:eastAsia="zh-CN"/>
              </w:rPr>
            </w:pPr>
          </w:p>
        </w:tc>
        <w:tc>
          <w:tcPr>
            <w:tcW w:w="7382" w:type="dxa"/>
            <w:noWrap w:val="0"/>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rPr>
              <w:t>提出的关于业务、管理等方面的建设性意见被公证机构予以采纳的，每采纳一条加</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lang w:eastAsia="zh-CN"/>
              </w:rPr>
              <w:t>（总分不超过</w:t>
            </w:r>
            <w:r>
              <w:rPr>
                <w:rFonts w:hint="eastAsia" w:ascii="宋体" w:hAnsi="宋体" w:eastAsia="宋体" w:cs="宋体"/>
                <w:color w:val="auto"/>
                <w:lang w:val="en-US" w:eastAsia="zh-CN"/>
              </w:rPr>
              <w:t>2分</w:t>
            </w:r>
            <w:r>
              <w:rPr>
                <w:rFonts w:hint="eastAsia" w:ascii="宋体" w:hAnsi="宋体" w:eastAsia="宋体" w:cs="宋体"/>
                <w:color w:val="auto"/>
                <w:lang w:eastAsia="zh-CN"/>
              </w:rPr>
              <w:t>）</w:t>
            </w:r>
            <w:r>
              <w:rPr>
                <w:rFonts w:hint="eastAsia" w:ascii="宋体" w:hAnsi="宋体" w:eastAsia="宋体" w:cs="宋体"/>
                <w:color w:val="auto"/>
              </w:rPr>
              <w:t>。</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color w:val="auto"/>
              </w:rPr>
              <w:t>考核年度内取得更高层次的学历教育、继续教育学历证书</w:t>
            </w:r>
            <w:r>
              <w:rPr>
                <w:rFonts w:hint="eastAsia" w:ascii="宋体" w:hAnsi="宋体" w:eastAsia="宋体" w:cs="宋体"/>
                <w:color w:val="auto"/>
                <w:sz w:val="21"/>
                <w:szCs w:val="21"/>
              </w:rPr>
              <w:t>、法律职业资格考试</w:t>
            </w:r>
            <w:r>
              <w:rPr>
                <w:rFonts w:hint="eastAsia" w:ascii="宋体" w:hAnsi="宋体" w:eastAsia="宋体" w:cs="宋体"/>
                <w:color w:val="auto"/>
              </w:rPr>
              <w:t>的，加</w:t>
            </w:r>
            <w:r>
              <w:rPr>
                <w:rFonts w:hint="eastAsia" w:ascii="宋体" w:hAnsi="宋体" w:eastAsia="宋体" w:cs="宋体"/>
                <w:color w:val="auto"/>
                <w:lang w:val="en-US" w:eastAsia="zh-CN"/>
              </w:rPr>
              <w:t>3</w:t>
            </w:r>
            <w:r>
              <w:rPr>
                <w:rFonts w:hint="eastAsia" w:ascii="宋体" w:hAnsi="宋体" w:eastAsia="宋体" w:cs="宋体"/>
                <w:color w:val="auto"/>
              </w:rPr>
              <w:t>分。</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color w:val="auto"/>
                <w:sz w:val="21"/>
                <w:szCs w:val="21"/>
                <w:lang w:val="en" w:eastAsia="zh-CN"/>
              </w:rPr>
              <w:t>公证员</w:t>
            </w:r>
            <w:r>
              <w:rPr>
                <w:rFonts w:hint="eastAsia" w:ascii="宋体" w:hAnsi="宋体" w:eastAsia="宋体" w:cs="宋体"/>
                <w:color w:val="auto"/>
                <w:sz w:val="21"/>
                <w:szCs w:val="21"/>
              </w:rPr>
              <w:t>服务评价满意率达到</w:t>
            </w:r>
            <w:r>
              <w:rPr>
                <w:rFonts w:hint="eastAsia" w:ascii="宋体" w:hAnsi="宋体" w:eastAsia="宋体" w:cs="宋体"/>
                <w:color w:val="auto"/>
                <w:sz w:val="21"/>
                <w:szCs w:val="21"/>
                <w:lang w:val="en"/>
              </w:rPr>
              <w:t>10</w:t>
            </w:r>
            <w:r>
              <w:rPr>
                <w:rFonts w:hint="eastAsia" w:ascii="宋体" w:hAnsi="宋体" w:eastAsia="宋体" w:cs="宋体"/>
                <w:color w:val="auto"/>
                <w:sz w:val="21"/>
                <w:szCs w:val="21"/>
              </w:rPr>
              <w:t>0%的，加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在质量检查中，合格率达到100%，其中：</w:t>
            </w:r>
            <w:r>
              <w:rPr>
                <w:rFonts w:hint="eastAsia" w:ascii="宋体" w:hAnsi="宋体" w:eastAsia="宋体" w:cs="宋体"/>
                <w:color w:val="auto"/>
              </w:rPr>
              <w:t>优秀率达10%及以上的，加</w:t>
            </w:r>
            <w:r>
              <w:rPr>
                <w:rFonts w:hint="eastAsia" w:ascii="宋体" w:hAnsi="宋体" w:eastAsia="宋体" w:cs="宋体"/>
                <w:color w:val="auto"/>
                <w:lang w:val="en-US" w:eastAsia="zh-CN"/>
              </w:rPr>
              <w:t>1</w:t>
            </w:r>
            <w:r>
              <w:rPr>
                <w:rFonts w:hint="eastAsia" w:ascii="宋体" w:hAnsi="宋体" w:eastAsia="宋体" w:cs="宋体"/>
                <w:color w:val="auto"/>
              </w:rPr>
              <w:t>分；优秀率达20%及以上的，加</w:t>
            </w:r>
            <w:r>
              <w:rPr>
                <w:rFonts w:hint="eastAsia" w:ascii="宋体" w:hAnsi="宋体" w:eastAsia="宋体" w:cs="宋体"/>
                <w:color w:val="auto"/>
                <w:lang w:val="en-US" w:eastAsia="zh-CN"/>
              </w:rPr>
              <w:t>2</w:t>
            </w:r>
            <w:r>
              <w:rPr>
                <w:rFonts w:hint="eastAsia" w:ascii="宋体" w:hAnsi="宋体" w:eastAsia="宋体" w:cs="宋体"/>
                <w:color w:val="auto"/>
              </w:rPr>
              <w:t>分；优秀率达30%及以上的，加</w:t>
            </w:r>
            <w:r>
              <w:rPr>
                <w:rFonts w:hint="eastAsia" w:ascii="宋体" w:hAnsi="宋体" w:eastAsia="宋体" w:cs="宋体"/>
                <w:color w:val="auto"/>
                <w:lang w:val="en-US" w:eastAsia="zh-CN"/>
              </w:rPr>
              <w:t>3</w:t>
            </w:r>
            <w:r>
              <w:rPr>
                <w:rFonts w:hint="eastAsia" w:ascii="宋体" w:hAnsi="宋体" w:eastAsia="宋体" w:cs="宋体"/>
                <w:color w:val="auto"/>
              </w:rPr>
              <w:t>分。</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年度办证数量较上年增长5%的加</w:t>
            </w:r>
            <w:r>
              <w:rPr>
                <w:rFonts w:hint="eastAsia" w:ascii="宋体" w:hAnsi="宋体" w:eastAsia="宋体" w:cs="宋体"/>
                <w:color w:val="auto"/>
                <w:lang w:val="en-US" w:eastAsia="zh-CN"/>
              </w:rPr>
              <w:t>2</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增长</w:t>
            </w:r>
            <w:r>
              <w:rPr>
                <w:rFonts w:hint="eastAsia" w:ascii="宋体" w:hAnsi="宋体" w:eastAsia="宋体" w:cs="宋体"/>
                <w:color w:val="auto"/>
                <w:lang w:val="en-US" w:eastAsia="zh-CN"/>
              </w:rPr>
              <w:t>10</w:t>
            </w:r>
            <w:r>
              <w:rPr>
                <w:rFonts w:hint="eastAsia" w:ascii="宋体" w:hAnsi="宋体" w:eastAsia="宋体" w:cs="宋体"/>
                <w:color w:val="auto"/>
              </w:rPr>
              <w:t>%的加</w:t>
            </w:r>
            <w:r>
              <w:rPr>
                <w:rFonts w:hint="eastAsia" w:ascii="宋体" w:hAnsi="宋体" w:eastAsia="宋体" w:cs="宋体"/>
                <w:color w:val="auto"/>
                <w:lang w:val="en-US" w:eastAsia="zh-CN"/>
              </w:rPr>
              <w:t>4</w:t>
            </w:r>
            <w:r>
              <w:rPr>
                <w:rFonts w:hint="eastAsia" w:ascii="宋体" w:hAnsi="宋体" w:eastAsia="宋体" w:cs="宋体"/>
                <w:color w:val="auto"/>
              </w:rPr>
              <w:t>分</w:t>
            </w:r>
            <w:r>
              <w:rPr>
                <w:rFonts w:hint="eastAsia" w:ascii="宋体" w:hAnsi="宋体" w:eastAsia="宋体" w:cs="宋体"/>
                <w:color w:val="auto"/>
                <w:lang w:eastAsia="zh-CN"/>
              </w:rPr>
              <w:t>，增长15%及以上的加</w:t>
            </w:r>
            <w:r>
              <w:rPr>
                <w:rFonts w:hint="eastAsia" w:ascii="宋体" w:hAnsi="宋体" w:eastAsia="宋体" w:cs="宋体"/>
                <w:color w:val="auto"/>
                <w:lang w:val="en-US" w:eastAsia="zh-CN"/>
              </w:rPr>
              <w:t>6</w:t>
            </w:r>
            <w:r>
              <w:rPr>
                <w:rFonts w:hint="eastAsia" w:ascii="宋体" w:hAnsi="宋体" w:eastAsia="宋体" w:cs="宋体"/>
                <w:color w:val="auto"/>
                <w:lang w:eastAsia="zh-CN"/>
              </w:rPr>
              <w:t>分；</w:t>
            </w:r>
            <w:r>
              <w:rPr>
                <w:rFonts w:hint="eastAsia" w:ascii="宋体" w:hAnsi="宋体" w:eastAsia="宋体" w:cs="宋体"/>
                <w:color w:val="auto"/>
              </w:rPr>
              <w:t>年度承办复杂、疑难、新型公证事项，每</w:t>
            </w:r>
            <w:r>
              <w:rPr>
                <w:rFonts w:hint="eastAsia" w:ascii="宋体" w:hAnsi="宋体" w:eastAsia="宋体" w:cs="宋体"/>
                <w:color w:val="auto"/>
                <w:lang w:eastAsia="zh-CN"/>
              </w:rPr>
              <w:t>增加</w:t>
            </w:r>
            <w:r>
              <w:rPr>
                <w:rFonts w:hint="eastAsia" w:ascii="宋体" w:hAnsi="宋体" w:eastAsia="宋体" w:cs="宋体"/>
                <w:color w:val="auto"/>
                <w:lang w:val="en-US" w:eastAsia="zh-CN"/>
              </w:rPr>
              <w:t>10</w:t>
            </w:r>
            <w:r>
              <w:rPr>
                <w:rFonts w:hint="eastAsia" w:ascii="宋体" w:hAnsi="宋体" w:eastAsia="宋体" w:cs="宋体"/>
                <w:color w:val="auto"/>
              </w:rPr>
              <w:t>件</w:t>
            </w:r>
            <w:r>
              <w:rPr>
                <w:rFonts w:hint="eastAsia" w:ascii="宋体" w:hAnsi="宋体" w:eastAsia="宋体" w:cs="宋体"/>
                <w:color w:val="auto"/>
                <w:lang w:eastAsia="zh-CN"/>
              </w:rPr>
              <w:t>加</w:t>
            </w:r>
            <w:r>
              <w:rPr>
                <w:rFonts w:hint="eastAsia" w:ascii="宋体" w:hAnsi="宋体" w:eastAsia="宋体" w:cs="宋体"/>
                <w:color w:val="auto"/>
              </w:rPr>
              <w:t>1分</w:t>
            </w:r>
            <w:r>
              <w:rPr>
                <w:rFonts w:hint="eastAsia" w:ascii="宋体" w:hAnsi="宋体" w:eastAsia="宋体" w:cs="宋体"/>
                <w:color w:val="auto"/>
                <w:lang w:eastAsia="zh-CN"/>
              </w:rPr>
              <w:t>（总加分</w:t>
            </w:r>
            <w:r>
              <w:rPr>
                <w:rFonts w:hint="eastAsia" w:ascii="宋体" w:hAnsi="宋体" w:eastAsia="宋体" w:cs="宋体"/>
                <w:color w:val="auto"/>
                <w:lang w:val="en-US" w:eastAsia="zh-CN"/>
              </w:rPr>
              <w:t>2分</w:t>
            </w:r>
            <w:r>
              <w:rPr>
                <w:rFonts w:hint="eastAsia" w:ascii="宋体" w:hAnsi="宋体" w:eastAsia="宋体" w:cs="宋体"/>
                <w:color w:val="auto"/>
                <w:lang w:eastAsia="zh-CN"/>
              </w:rPr>
              <w:t>）</w:t>
            </w:r>
            <w:r>
              <w:rPr>
                <w:rFonts w:hint="eastAsia" w:ascii="宋体" w:hAnsi="宋体" w:eastAsia="宋体" w:cs="宋体"/>
                <w:color w:val="auto"/>
              </w:rPr>
              <w:t>。</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sz w:val="21"/>
                <w:szCs w:val="21"/>
                <w:lang w:val="en-US" w:eastAsia="zh-CN"/>
              </w:rPr>
              <w:t>典型案例入选</w:t>
            </w:r>
            <w:r>
              <w:rPr>
                <w:rFonts w:hint="eastAsia" w:ascii="宋体" w:hAnsi="宋体" w:eastAsia="宋体" w:cs="宋体"/>
                <w:color w:val="auto"/>
              </w:rPr>
              <w:t>司法部案例库</w:t>
            </w:r>
            <w:r>
              <w:rPr>
                <w:rFonts w:hint="eastAsia" w:ascii="宋体" w:hAnsi="宋体" w:eastAsia="宋体" w:cs="宋体"/>
                <w:color w:val="auto"/>
                <w:sz w:val="21"/>
                <w:szCs w:val="21"/>
                <w:lang w:val="en-US" w:eastAsia="zh-CN"/>
              </w:rPr>
              <w:t>，或被省级以上司法行政主管部门或公证协会评选为优秀公证案件的，加 2分；在市级以上司法行政部门、公证协会组织的相关文章征集获奖的，加 2 分；在公开出版的专业学术期刊上发表学术论文或在省级内部资料性学术出版物(内刊、论文集)、增刊上发表学术论文的，加 3 分；在省级内部资料性学术出版物(内刊、论文集)、增刊上发表学术论文的，加 2 分。（在同一篇信息、文章、公证案例被多次采用的，取最高分值，不得累计加分，本项最多加6分）</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考核年度内，个人获得区（县）级及以上单位表彰的，每次加2分（本项最多加4分）。</w:t>
            </w:r>
          </w:p>
        </w:tc>
        <w:tc>
          <w:tcPr>
            <w:tcW w:w="1353" w:type="dxa"/>
            <w:noWrap w:val="0"/>
            <w:vAlign w:val="top"/>
          </w:tcPr>
          <w:p>
            <w:pPr>
              <w:spacing w:line="340" w:lineRule="exact"/>
              <w:rPr>
                <w:rFonts w:hint="eastAsia" w:ascii="Times New Roman" w:hAnsi="Times New Roman" w:cs="方正楷体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868" w:type="dxa"/>
            <w:gridSpan w:val="3"/>
            <w:noWrap w:val="0"/>
            <w:vAlign w:val="center"/>
          </w:tcPr>
          <w:p>
            <w:pPr>
              <w:spacing w:line="300" w:lineRule="exact"/>
              <w:rPr>
                <w:rFonts w:hint="eastAsia" w:ascii="宋体" w:hAnsi="宋体" w:eastAsia="宋体" w:cs="宋体"/>
                <w:color w:val="auto"/>
                <w:lang w:val="en-US" w:eastAsia="zh-CN"/>
              </w:rPr>
            </w:pPr>
            <w:r>
              <w:rPr>
                <w:rFonts w:hint="eastAsia" w:ascii="宋体" w:hAnsi="宋体" w:eastAsia="宋体" w:cs="宋体"/>
                <w:color w:val="auto"/>
                <w:sz w:val="21"/>
                <w:szCs w:val="21"/>
                <w:lang w:eastAsia="zh-CN"/>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以上每一项最后得分不低于</w:t>
            </w:r>
            <w:r>
              <w:rPr>
                <w:rFonts w:hint="eastAsia" w:ascii="宋体" w:hAnsi="宋体" w:eastAsia="宋体" w:cs="宋体"/>
                <w:color w:val="auto"/>
                <w:sz w:val="21"/>
                <w:szCs w:val="21"/>
                <w:lang w:val="en-US" w:eastAsia="zh-CN"/>
              </w:rPr>
              <w:t>0分；2.加分项部分得分总计不超过10分。</w:t>
            </w:r>
          </w:p>
        </w:tc>
        <w:tc>
          <w:tcPr>
            <w:tcW w:w="1353" w:type="dxa"/>
            <w:noWrap w:val="0"/>
            <w:vAlign w:val="top"/>
          </w:tcPr>
          <w:p>
            <w:pPr>
              <w:spacing w:line="340" w:lineRule="exact"/>
              <w:rPr>
                <w:rFonts w:hint="eastAsia" w:ascii="Times New Roman" w:hAnsi="Times New Roman" w:cs="方正楷体_GBK"/>
                <w:color w:val="auto"/>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DejaVu Math TeX Gyre"/>
    <w:panose1 w:val="00000000000000000000"/>
    <w:charset w:val="00"/>
    <w:family w:val="auto"/>
    <w:pitch w:val="default"/>
    <w:sig w:usb0="00000000" w:usb1="00000000" w:usb2="00000000" w:usb3="00000000" w:csb0="0000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D4DCC"/>
    <w:multiLevelType w:val="singleLevel"/>
    <w:tmpl w:val="D1DD4DCC"/>
    <w:lvl w:ilvl="0" w:tentative="0">
      <w:start w:val="1"/>
      <w:numFmt w:val="decimal"/>
      <w:suff w:val="space"/>
      <w:lvlText w:val="%1."/>
      <w:lvlJc w:val="left"/>
    </w:lvl>
  </w:abstractNum>
  <w:abstractNum w:abstractNumId="1">
    <w:nsid w:val="D7DC5EF9"/>
    <w:multiLevelType w:val="singleLevel"/>
    <w:tmpl w:val="D7DC5EF9"/>
    <w:lvl w:ilvl="0" w:tentative="0">
      <w:start w:val="1"/>
      <w:numFmt w:val="decimal"/>
      <w:suff w:val="space"/>
      <w:lvlText w:val="%1."/>
      <w:lvlJc w:val="left"/>
    </w:lvl>
  </w:abstractNum>
  <w:abstractNum w:abstractNumId="2">
    <w:nsid w:val="DEB8661D"/>
    <w:multiLevelType w:val="singleLevel"/>
    <w:tmpl w:val="DEB8661D"/>
    <w:lvl w:ilvl="0" w:tentative="0">
      <w:start w:val="1"/>
      <w:numFmt w:val="decimal"/>
      <w:suff w:val="space"/>
      <w:lvlText w:val="%1."/>
      <w:lvlJc w:val="left"/>
    </w:lvl>
  </w:abstractNum>
  <w:abstractNum w:abstractNumId="3">
    <w:nsid w:val="EA975B98"/>
    <w:multiLevelType w:val="singleLevel"/>
    <w:tmpl w:val="EA975B98"/>
    <w:lvl w:ilvl="0" w:tentative="0">
      <w:start w:val="1"/>
      <w:numFmt w:val="decimal"/>
      <w:suff w:val="space"/>
      <w:lvlText w:val="%1."/>
      <w:lvlJc w:val="left"/>
    </w:lvl>
  </w:abstractNum>
  <w:abstractNum w:abstractNumId="4">
    <w:nsid w:val="598DF9BB"/>
    <w:multiLevelType w:val="singleLevel"/>
    <w:tmpl w:val="598DF9BB"/>
    <w:lvl w:ilvl="0" w:tentative="0">
      <w:start w:val="1"/>
      <w:numFmt w:val="decimal"/>
      <w:lvlText w:val="%1."/>
      <w:lvlJc w:val="left"/>
      <w:pPr>
        <w:tabs>
          <w:tab w:val="left" w:pos="312"/>
        </w:tabs>
      </w:pPr>
    </w:lvl>
  </w:abstractNum>
  <w:abstractNum w:abstractNumId="5">
    <w:nsid w:val="6DFD248C"/>
    <w:multiLevelType w:val="singleLevel"/>
    <w:tmpl w:val="6DFD248C"/>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UzMDA0MzkzMDkxODkzOWNjYjMxN2QzNTAyZTgifQ=="/>
  </w:docVars>
  <w:rsids>
    <w:rsidRoot w:val="19797BF2"/>
    <w:rsid w:val="197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jc w:val="left"/>
      <w:textAlignment w:val="baseline"/>
    </w:pPr>
    <w:rPr>
      <w:rFonts w:ascii="黑体" w:hAnsi="??_GB2312" w:eastAsia="黑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2024-07-09T01:46:00Z</dcterms:created>
  <dc:creator>吴钰鑫</dc:creator>
  <cp:lastModifiedBy>吴钰鑫</cp:lastModifiedBy>
  <dcterms:modified xsi:type="dcterms:W3CDTF">2024-07-09T01:46:42Z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9BFB4733C67743F3977F41A6198A7732_11</vt:lpwstr>
  </property>
</Properties>
</file>